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20" w:rsidRDefault="00F53820" w:rsidP="00F53820">
      <w:pPr>
        <w:rPr>
          <w:b/>
          <w:sz w:val="18"/>
          <w:szCs w:val="18"/>
        </w:rPr>
      </w:pPr>
      <w:bookmarkStart w:id="0" w:name="_GoBack"/>
      <w:bookmarkEnd w:id="0"/>
      <w:r>
        <w:t>Senato Karar Tarihi: 23.03.2022</w:t>
      </w:r>
    </w:p>
    <w:p w:rsidR="00F53820" w:rsidRDefault="00F53820" w:rsidP="00257C43">
      <w:pPr>
        <w:jc w:val="center"/>
        <w:rPr>
          <w:b/>
          <w:sz w:val="18"/>
          <w:szCs w:val="18"/>
        </w:rPr>
      </w:pPr>
    </w:p>
    <w:p w:rsidR="00F53820" w:rsidRDefault="00F53820" w:rsidP="00257C43">
      <w:pPr>
        <w:jc w:val="center"/>
        <w:rPr>
          <w:b/>
          <w:sz w:val="18"/>
          <w:szCs w:val="18"/>
        </w:rPr>
      </w:pPr>
    </w:p>
    <w:p w:rsidR="00257C43" w:rsidRPr="004B4E74" w:rsidRDefault="00257C43" w:rsidP="00257C43">
      <w:pPr>
        <w:jc w:val="center"/>
        <w:rPr>
          <w:b/>
          <w:sz w:val="18"/>
          <w:szCs w:val="18"/>
        </w:rPr>
      </w:pPr>
      <w:r w:rsidRPr="004B4E74">
        <w:rPr>
          <w:b/>
          <w:sz w:val="18"/>
          <w:szCs w:val="18"/>
        </w:rPr>
        <w:t>T.C.</w:t>
      </w:r>
    </w:p>
    <w:p w:rsidR="00257C43" w:rsidRPr="004B4E74" w:rsidRDefault="00257C43" w:rsidP="00257C43">
      <w:pPr>
        <w:jc w:val="center"/>
        <w:rPr>
          <w:b/>
          <w:sz w:val="18"/>
          <w:szCs w:val="18"/>
        </w:rPr>
      </w:pPr>
      <w:r w:rsidRPr="004B4E74">
        <w:rPr>
          <w:b/>
          <w:sz w:val="18"/>
          <w:szCs w:val="18"/>
        </w:rPr>
        <w:t xml:space="preserve">ESKİŞEHİR OSMANGAZİ ÜNİVERSİTESİ </w:t>
      </w:r>
    </w:p>
    <w:p w:rsidR="00257C43" w:rsidRPr="004B4E74" w:rsidRDefault="004B4E74" w:rsidP="00257C43">
      <w:pPr>
        <w:jc w:val="center"/>
        <w:rPr>
          <w:b/>
          <w:sz w:val="18"/>
          <w:szCs w:val="18"/>
        </w:rPr>
      </w:pPr>
      <w:r w:rsidRPr="004B4E74">
        <w:rPr>
          <w:b/>
          <w:sz w:val="18"/>
          <w:szCs w:val="18"/>
        </w:rPr>
        <w:t>SAĞLIK</w:t>
      </w:r>
      <w:r w:rsidR="00257C43" w:rsidRPr="004B4E74">
        <w:rPr>
          <w:b/>
          <w:sz w:val="18"/>
          <w:szCs w:val="18"/>
        </w:rPr>
        <w:t xml:space="preserve"> BİLİMLERİ ENSTİTÜSÜ </w:t>
      </w:r>
    </w:p>
    <w:p w:rsidR="00257C43" w:rsidRPr="004B4E74" w:rsidRDefault="00257C43" w:rsidP="00257C43">
      <w:pPr>
        <w:jc w:val="center"/>
        <w:rPr>
          <w:b/>
          <w:sz w:val="18"/>
          <w:szCs w:val="18"/>
        </w:rPr>
      </w:pPr>
      <w:r w:rsidRPr="004B4E74">
        <w:rPr>
          <w:b/>
          <w:sz w:val="18"/>
          <w:szCs w:val="18"/>
        </w:rPr>
        <w:t>YÜKSEK LİSANS/DOKTORA TEZLERİ VE DÖNEM PROJELERİ İÇİN</w:t>
      </w:r>
    </w:p>
    <w:p w:rsidR="00257C43" w:rsidRPr="004B4E74" w:rsidRDefault="00257C43" w:rsidP="00257C43">
      <w:pPr>
        <w:jc w:val="center"/>
        <w:rPr>
          <w:b/>
          <w:sz w:val="18"/>
          <w:szCs w:val="18"/>
        </w:rPr>
      </w:pPr>
      <w:r w:rsidRPr="004B4E74">
        <w:rPr>
          <w:b/>
          <w:sz w:val="18"/>
          <w:szCs w:val="18"/>
        </w:rPr>
        <w:t xml:space="preserve">ORİJİNALLİK RAPORU ALINMASI VE KULLANILMASINA DAİR UYGULAMA ESASLARI </w:t>
      </w:r>
    </w:p>
    <w:p w:rsidR="00257C43" w:rsidRDefault="00257C43" w:rsidP="00257C43">
      <w:pPr>
        <w:spacing w:before="120" w:after="120"/>
        <w:rPr>
          <w:rFonts w:eastAsia="Calibri"/>
          <w:b/>
          <w:sz w:val="18"/>
          <w:szCs w:val="18"/>
          <w:lang w:eastAsia="en-US"/>
        </w:rPr>
      </w:pPr>
    </w:p>
    <w:p w:rsidR="00F53820" w:rsidRDefault="00F53820" w:rsidP="00257C43">
      <w:pPr>
        <w:spacing w:before="120" w:after="120"/>
        <w:rPr>
          <w:rFonts w:eastAsia="Calibri"/>
          <w:b/>
          <w:sz w:val="18"/>
          <w:szCs w:val="18"/>
          <w:lang w:eastAsia="en-US"/>
        </w:rPr>
      </w:pPr>
    </w:p>
    <w:p w:rsidR="00F53820" w:rsidRPr="00795247" w:rsidRDefault="00F53820" w:rsidP="00257C43">
      <w:pPr>
        <w:spacing w:before="120" w:after="120"/>
        <w:rPr>
          <w:rFonts w:ascii="Arial Narrow" w:eastAsia="Calibri" w:hAnsi="Arial Narrow"/>
          <w:b/>
          <w:sz w:val="18"/>
          <w:szCs w:val="18"/>
          <w:lang w:eastAsia="en-US"/>
        </w:rPr>
      </w:pPr>
    </w:p>
    <w:p w:rsidR="00257C43" w:rsidRPr="004B4E74" w:rsidRDefault="00257C43" w:rsidP="00257C43">
      <w:pPr>
        <w:spacing w:before="120" w:after="120"/>
        <w:rPr>
          <w:rFonts w:eastAsia="Calibri"/>
          <w:b/>
          <w:sz w:val="18"/>
          <w:szCs w:val="18"/>
          <w:lang w:eastAsia="en-US"/>
        </w:rPr>
      </w:pPr>
      <w:r w:rsidRPr="004B4E74">
        <w:rPr>
          <w:rFonts w:eastAsia="Calibri"/>
          <w:b/>
          <w:sz w:val="18"/>
          <w:szCs w:val="18"/>
          <w:lang w:eastAsia="en-US"/>
        </w:rPr>
        <w:t>AMAÇ VE KAPSAM</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  </w:t>
      </w:r>
      <w:r w:rsidRPr="00795247">
        <w:rPr>
          <w:rFonts w:eastAsia="Calibri"/>
          <w:sz w:val="18"/>
          <w:szCs w:val="18"/>
          <w:lang w:eastAsia="en-US"/>
        </w:rPr>
        <w:t xml:space="preserve">Bu uygulama esaslarının amacı, ESOGÜ </w:t>
      </w:r>
      <w:r w:rsidR="004B4E74">
        <w:rPr>
          <w:rFonts w:eastAsia="Calibri"/>
          <w:sz w:val="18"/>
          <w:szCs w:val="18"/>
          <w:lang w:eastAsia="en-US"/>
        </w:rPr>
        <w:t>Sağlık</w:t>
      </w:r>
      <w:r w:rsidRPr="00795247">
        <w:rPr>
          <w:rFonts w:eastAsia="Calibri"/>
          <w:sz w:val="18"/>
          <w:szCs w:val="18"/>
          <w:lang w:eastAsia="en-US"/>
        </w:rPr>
        <w:t xml:space="preserve"> Bilimleri Enstitüsü bünyesinde yapılan Yüksek Lisans/Doktora tezleri ve Dönem Projeleri için Orijinallik Raporu alınmasına ve kullanılmasına ilişkin süreci ve uygulama esaslarını düzenlemektir. </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DAYANAK</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2.  </w:t>
      </w:r>
      <w:r w:rsidRPr="00795247">
        <w:rPr>
          <w:rFonts w:eastAsia="Calibri"/>
          <w:sz w:val="18"/>
          <w:szCs w:val="18"/>
          <w:lang w:eastAsia="en-US"/>
        </w:rPr>
        <w:t>Bu uygulama esasları;</w:t>
      </w:r>
    </w:p>
    <w:p w:rsidR="00257C43" w:rsidRPr="00795247" w:rsidRDefault="00257C43" w:rsidP="00257C43">
      <w:pPr>
        <w:spacing w:before="120" w:after="120"/>
        <w:jc w:val="both"/>
        <w:rPr>
          <w:rFonts w:eastAsia="Calibri"/>
          <w:sz w:val="18"/>
          <w:szCs w:val="18"/>
          <w:lang w:eastAsia="en-US"/>
        </w:rPr>
      </w:pPr>
      <w:r w:rsidRPr="00795247">
        <w:rPr>
          <w:rFonts w:eastAsia="Calibri"/>
          <w:sz w:val="18"/>
          <w:szCs w:val="18"/>
          <w:lang w:eastAsia="en-US"/>
        </w:rPr>
        <w:t>1-2547 sayılı Yükseköğretim Kanununun 14. Maddesine,</w:t>
      </w:r>
    </w:p>
    <w:p w:rsidR="00257C43" w:rsidRPr="00795247" w:rsidRDefault="00257C43" w:rsidP="00257C43">
      <w:pPr>
        <w:spacing w:before="120" w:after="120"/>
        <w:jc w:val="both"/>
        <w:rPr>
          <w:rFonts w:eastAsia="Calibri"/>
          <w:sz w:val="18"/>
          <w:szCs w:val="18"/>
          <w:lang w:eastAsia="en-US"/>
        </w:rPr>
      </w:pPr>
      <w:r w:rsidRPr="00795247">
        <w:rPr>
          <w:rFonts w:eastAsia="Calibri"/>
          <w:sz w:val="18"/>
          <w:szCs w:val="18"/>
          <w:lang w:eastAsia="en-US"/>
        </w:rPr>
        <w:t xml:space="preserve">2-20.04.2016 tarihli ve 29690 sayılı Resmi </w:t>
      </w:r>
      <w:proofErr w:type="spellStart"/>
      <w:r w:rsidRPr="00795247">
        <w:rPr>
          <w:rFonts w:eastAsia="Calibri"/>
          <w:sz w:val="18"/>
          <w:szCs w:val="18"/>
          <w:lang w:eastAsia="en-US"/>
        </w:rPr>
        <w:t>Gazete’de</w:t>
      </w:r>
      <w:proofErr w:type="spellEnd"/>
      <w:r w:rsidRPr="00795247">
        <w:rPr>
          <w:rFonts w:eastAsia="Calibri"/>
          <w:sz w:val="18"/>
          <w:szCs w:val="18"/>
          <w:lang w:eastAsia="en-US"/>
        </w:rPr>
        <w:t xml:space="preserve"> yayımlanan Lisansüstü Eğitim ve Öğretim Yönetmeliği’ne</w:t>
      </w:r>
    </w:p>
    <w:p w:rsidR="00257C43" w:rsidRPr="00795247" w:rsidRDefault="00257C43" w:rsidP="00257C43">
      <w:pPr>
        <w:spacing w:before="120" w:after="120"/>
        <w:jc w:val="both"/>
        <w:rPr>
          <w:rFonts w:eastAsia="Calibri"/>
          <w:sz w:val="18"/>
          <w:szCs w:val="18"/>
          <w:lang w:eastAsia="en-US"/>
        </w:rPr>
      </w:pPr>
      <w:r w:rsidRPr="00795247">
        <w:rPr>
          <w:rFonts w:eastAsia="Calibri"/>
          <w:sz w:val="18"/>
          <w:szCs w:val="18"/>
          <w:lang w:eastAsia="en-US"/>
        </w:rPr>
        <w:t xml:space="preserve">3-25.12.2014 tarihli YÖK Genel Kurul toplantısında karara bağlanan “Lisansüstü Programların Açılması ve Yürütülmesine Dair </w:t>
      </w:r>
      <w:proofErr w:type="spellStart"/>
      <w:r w:rsidRPr="00795247">
        <w:rPr>
          <w:rFonts w:eastAsia="Calibri"/>
          <w:sz w:val="18"/>
          <w:szCs w:val="18"/>
          <w:lang w:eastAsia="en-US"/>
        </w:rPr>
        <w:t>İlkeler”e</w:t>
      </w:r>
      <w:proofErr w:type="spellEnd"/>
      <w:r w:rsidRPr="00795247">
        <w:rPr>
          <w:rFonts w:eastAsia="Calibri"/>
          <w:sz w:val="18"/>
          <w:szCs w:val="18"/>
          <w:lang w:eastAsia="en-US"/>
        </w:rPr>
        <w:t xml:space="preserve"> dayanılarak hazırlanmıştır. </w:t>
      </w:r>
    </w:p>
    <w:p w:rsidR="00257C43" w:rsidRPr="00795247" w:rsidRDefault="00257C43" w:rsidP="00257C43">
      <w:pPr>
        <w:spacing w:before="120" w:after="120"/>
        <w:rPr>
          <w:rFonts w:eastAsia="Calibri"/>
          <w:b/>
          <w:sz w:val="18"/>
          <w:szCs w:val="18"/>
          <w:lang w:eastAsia="en-US"/>
        </w:rPr>
      </w:pPr>
      <w:r w:rsidRPr="00795247">
        <w:rPr>
          <w:rFonts w:eastAsia="Calibri"/>
          <w:b/>
          <w:sz w:val="18"/>
          <w:szCs w:val="18"/>
          <w:lang w:eastAsia="en-US"/>
        </w:rPr>
        <w:t>ORİJİNALLİK RAPORUNUN ALINMASI</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3. </w:t>
      </w:r>
      <w:r w:rsidRPr="00795247">
        <w:rPr>
          <w:rFonts w:eastAsia="Calibri"/>
          <w:sz w:val="18"/>
          <w:szCs w:val="18"/>
          <w:lang w:eastAsia="en-US"/>
        </w:rPr>
        <w:t xml:space="preserve">Tezin/Dönem Projesinin Orijinallik Raporu Üniversitenin sağladığı intihal programı kullanılarak Enstitü tarafından alınır. Orijinallik Raporu Enstitü tarafından Tez Şekilsel Onayı verilmiş tez/danışmana sunulan Dönem Projesi üzerinden alınır. </w:t>
      </w:r>
    </w:p>
    <w:p w:rsidR="00257C43" w:rsidRPr="00795247" w:rsidRDefault="00257C43" w:rsidP="00257C43">
      <w:pPr>
        <w:numPr>
          <w:ilvl w:val="0"/>
          <w:numId w:val="2"/>
        </w:numPr>
        <w:spacing w:before="120" w:after="120"/>
        <w:ind w:left="709" w:hanging="349"/>
        <w:jc w:val="both"/>
        <w:rPr>
          <w:rFonts w:eastAsia="Calibri"/>
          <w:sz w:val="18"/>
          <w:szCs w:val="18"/>
          <w:lang w:eastAsia="en-US"/>
        </w:rPr>
      </w:pPr>
      <w:r w:rsidRPr="00795247">
        <w:rPr>
          <w:rFonts w:eastAsia="Calibri"/>
          <w:sz w:val="18"/>
          <w:szCs w:val="18"/>
          <w:lang w:eastAsia="en-US"/>
        </w:rPr>
        <w:t xml:space="preserve">Tezler için; Tez Savunma Sınavı öncesi öğrenci öncelikle Tez Şekilsel Onayı almak için Enstitüye danışmanının onayı ile başvurur. Tez Şekilsel Onayı alınan tez için öğrenci danışmanının onayı ile Orijinallik Raporu alınması ve jüri kurulması için tekrar </w:t>
      </w:r>
      <w:proofErr w:type="spellStart"/>
      <w:r w:rsidRPr="00795247">
        <w:rPr>
          <w:rFonts w:eastAsia="Calibri"/>
          <w:sz w:val="18"/>
          <w:szCs w:val="18"/>
          <w:lang w:eastAsia="en-US"/>
        </w:rPr>
        <w:t>Enstitü’ye</w:t>
      </w:r>
      <w:proofErr w:type="spellEnd"/>
      <w:r w:rsidRPr="00795247">
        <w:rPr>
          <w:rFonts w:eastAsia="Calibri"/>
          <w:sz w:val="18"/>
          <w:szCs w:val="18"/>
          <w:lang w:eastAsia="en-US"/>
        </w:rPr>
        <w:t xml:space="preserve"> başvuru yapar. </w:t>
      </w:r>
    </w:p>
    <w:p w:rsidR="00257C43" w:rsidRPr="00795247" w:rsidRDefault="00257C43" w:rsidP="00257C43">
      <w:pPr>
        <w:numPr>
          <w:ilvl w:val="0"/>
          <w:numId w:val="2"/>
        </w:numPr>
        <w:spacing w:before="120" w:after="120"/>
        <w:ind w:left="709" w:hanging="349"/>
        <w:jc w:val="both"/>
        <w:rPr>
          <w:rFonts w:eastAsia="Calibri"/>
          <w:sz w:val="18"/>
          <w:szCs w:val="18"/>
          <w:lang w:eastAsia="en-US"/>
        </w:rPr>
      </w:pPr>
      <w:r w:rsidRPr="00795247">
        <w:rPr>
          <w:rFonts w:eastAsia="Calibri"/>
          <w:sz w:val="18"/>
          <w:szCs w:val="18"/>
          <w:lang w:eastAsia="en-US"/>
        </w:rPr>
        <w:t xml:space="preserve">Dönem projeleri için; Öğrenci danışmanına sunduğu ve danışmanın uygun bulduğu Dönem Projesine Orijinallik Raporu almak için danışmanının onayı ile </w:t>
      </w:r>
      <w:proofErr w:type="spellStart"/>
      <w:r w:rsidRPr="00795247">
        <w:rPr>
          <w:rFonts w:eastAsia="Calibri"/>
          <w:sz w:val="18"/>
          <w:szCs w:val="18"/>
          <w:lang w:eastAsia="en-US"/>
        </w:rPr>
        <w:t>Enstitü’ye</w:t>
      </w:r>
      <w:proofErr w:type="spellEnd"/>
      <w:r w:rsidRPr="00795247">
        <w:rPr>
          <w:rFonts w:eastAsia="Calibri"/>
          <w:sz w:val="18"/>
          <w:szCs w:val="18"/>
          <w:lang w:eastAsia="en-US"/>
        </w:rPr>
        <w:t xml:space="preserve"> başvurur.    </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4. </w:t>
      </w:r>
      <w:r w:rsidRPr="00795247">
        <w:rPr>
          <w:rFonts w:eastAsia="Calibri"/>
          <w:bCs/>
          <w:sz w:val="18"/>
          <w:szCs w:val="18"/>
          <w:lang w:eastAsia="en-US"/>
        </w:rPr>
        <w:t>Tez ve Dönem Projesi için</w:t>
      </w:r>
      <w:r w:rsidRPr="00795247">
        <w:rPr>
          <w:rFonts w:eastAsia="Calibri"/>
          <w:b/>
          <w:sz w:val="18"/>
          <w:szCs w:val="18"/>
          <w:lang w:eastAsia="en-US"/>
        </w:rPr>
        <w:t xml:space="preserve"> </w:t>
      </w:r>
      <w:r w:rsidRPr="00795247">
        <w:rPr>
          <w:rFonts w:eastAsia="Calibri"/>
          <w:sz w:val="18"/>
          <w:szCs w:val="18"/>
          <w:lang w:eastAsia="en-US"/>
        </w:rPr>
        <w:t xml:space="preserve">intihal programına Enstitü tarafından yükleme yapılırken, dosya başlığı olarak tez/dönem projesi başlığının tamamı, yazar adı-soyadı olarak öğrencinin adı-soyadı yazılır. Programa tezin/dönem projesinin İç Kapak Sayfası, Özet, </w:t>
      </w:r>
      <w:proofErr w:type="spellStart"/>
      <w:r w:rsidRPr="00795247">
        <w:rPr>
          <w:rFonts w:eastAsia="Calibri"/>
          <w:sz w:val="18"/>
          <w:szCs w:val="18"/>
          <w:lang w:eastAsia="en-US"/>
        </w:rPr>
        <w:t>Abstract</w:t>
      </w:r>
      <w:proofErr w:type="spellEnd"/>
      <w:r w:rsidRPr="00795247">
        <w:rPr>
          <w:rFonts w:eastAsia="Calibri"/>
          <w:sz w:val="18"/>
          <w:szCs w:val="18"/>
          <w:lang w:eastAsia="en-US"/>
        </w:rPr>
        <w:t>, Giriş ve Amaç (Giriş), ana metin (Giriş ve Amaç ile Sonuç ve Öneriler arasındaki ana gövde) ve Sonuç ve Öneriler kısımları yüklenir.</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5. </w:t>
      </w:r>
      <w:r w:rsidRPr="00795247">
        <w:rPr>
          <w:rFonts w:eastAsia="Calibri"/>
          <w:bCs/>
          <w:sz w:val="18"/>
          <w:szCs w:val="18"/>
          <w:lang w:eastAsia="en-US"/>
        </w:rPr>
        <w:t>Tez</w:t>
      </w:r>
      <w:r w:rsidRPr="00795247">
        <w:rPr>
          <w:rFonts w:eastAsia="Calibri"/>
          <w:sz w:val="18"/>
          <w:szCs w:val="18"/>
          <w:lang w:eastAsia="en-US"/>
        </w:rPr>
        <w:t xml:space="preserve">/dönem projesi </w:t>
      </w:r>
      <w:r w:rsidRPr="00795247">
        <w:rPr>
          <w:rFonts w:eastAsia="Calibri"/>
          <w:bCs/>
          <w:sz w:val="18"/>
          <w:szCs w:val="18"/>
          <w:lang w:eastAsia="en-US"/>
        </w:rPr>
        <w:t>için</w:t>
      </w:r>
      <w:r w:rsidRPr="00795247">
        <w:rPr>
          <w:rFonts w:eastAsia="Calibri"/>
          <w:b/>
          <w:sz w:val="18"/>
          <w:szCs w:val="18"/>
          <w:lang w:eastAsia="en-US"/>
        </w:rPr>
        <w:t xml:space="preserve"> </w:t>
      </w:r>
      <w:r w:rsidRPr="00795247">
        <w:rPr>
          <w:rFonts w:eastAsia="Calibri"/>
          <w:sz w:val="18"/>
          <w:szCs w:val="18"/>
          <w:lang w:eastAsia="en-US"/>
        </w:rPr>
        <w:t>Enstitü tarafından</w:t>
      </w:r>
      <w:r w:rsidRPr="00795247">
        <w:rPr>
          <w:rFonts w:eastAsia="Calibri"/>
          <w:b/>
          <w:sz w:val="18"/>
          <w:szCs w:val="18"/>
          <w:lang w:eastAsia="en-US"/>
        </w:rPr>
        <w:t xml:space="preserve"> </w:t>
      </w:r>
      <w:r w:rsidRPr="00795247">
        <w:rPr>
          <w:rFonts w:eastAsia="Calibri"/>
          <w:sz w:val="18"/>
          <w:szCs w:val="18"/>
          <w:lang w:eastAsia="en-US"/>
        </w:rPr>
        <w:t xml:space="preserve">İntihal programına yüklenen dosyanın raporlanmasında aşağıdaki filtreleme seçenekleri uygulanır.  </w:t>
      </w:r>
    </w:p>
    <w:p w:rsidR="00257C43" w:rsidRPr="00795247" w:rsidRDefault="00257C43" w:rsidP="00257C43">
      <w:pPr>
        <w:numPr>
          <w:ilvl w:val="0"/>
          <w:numId w:val="3"/>
        </w:numPr>
        <w:spacing w:before="120" w:after="120"/>
        <w:ind w:left="567" w:hanging="207"/>
        <w:jc w:val="both"/>
        <w:rPr>
          <w:rFonts w:eastAsia="Calibri"/>
          <w:sz w:val="18"/>
          <w:szCs w:val="18"/>
          <w:lang w:eastAsia="en-US"/>
        </w:rPr>
      </w:pPr>
      <w:r w:rsidRPr="00795247">
        <w:rPr>
          <w:rFonts w:eastAsia="Calibri"/>
          <w:sz w:val="18"/>
          <w:szCs w:val="18"/>
          <w:lang w:eastAsia="en-US"/>
        </w:rPr>
        <w:t>Kaynakça hariç</w:t>
      </w:r>
    </w:p>
    <w:p w:rsidR="00257C43" w:rsidRPr="00795247" w:rsidRDefault="00257C43" w:rsidP="00257C43">
      <w:pPr>
        <w:numPr>
          <w:ilvl w:val="0"/>
          <w:numId w:val="3"/>
        </w:numPr>
        <w:spacing w:before="120" w:after="120"/>
        <w:ind w:left="567" w:hanging="207"/>
        <w:jc w:val="both"/>
        <w:rPr>
          <w:rFonts w:eastAsia="Calibri"/>
          <w:sz w:val="18"/>
          <w:szCs w:val="18"/>
          <w:lang w:eastAsia="en-US"/>
        </w:rPr>
      </w:pPr>
      <w:r w:rsidRPr="00795247">
        <w:rPr>
          <w:rFonts w:eastAsia="Calibri"/>
          <w:sz w:val="18"/>
          <w:szCs w:val="18"/>
          <w:lang w:eastAsia="en-US"/>
        </w:rPr>
        <w:t xml:space="preserve">Alıntılar </w:t>
      </w:r>
      <w:proofErr w:type="gramStart"/>
      <w:r w:rsidRPr="00795247">
        <w:rPr>
          <w:rFonts w:eastAsia="Calibri"/>
          <w:sz w:val="18"/>
          <w:szCs w:val="18"/>
          <w:lang w:eastAsia="en-US"/>
        </w:rPr>
        <w:t>dahil</w:t>
      </w:r>
      <w:proofErr w:type="gramEnd"/>
    </w:p>
    <w:p w:rsidR="00257C43" w:rsidRPr="00795247" w:rsidRDefault="00257C43" w:rsidP="00257C43">
      <w:pPr>
        <w:numPr>
          <w:ilvl w:val="0"/>
          <w:numId w:val="3"/>
        </w:numPr>
        <w:spacing w:before="120" w:after="120"/>
        <w:ind w:left="567" w:hanging="207"/>
        <w:jc w:val="both"/>
        <w:rPr>
          <w:rFonts w:eastAsia="Calibri"/>
          <w:sz w:val="18"/>
          <w:szCs w:val="18"/>
          <w:lang w:eastAsia="en-US"/>
        </w:rPr>
      </w:pPr>
      <w:r w:rsidRPr="00795247">
        <w:rPr>
          <w:rFonts w:eastAsia="Calibri"/>
          <w:sz w:val="18"/>
          <w:szCs w:val="18"/>
          <w:lang w:eastAsia="en-US"/>
        </w:rPr>
        <w:t>5 kelimeden daha az örtüşme içeren metin kısımları hariç</w:t>
      </w:r>
    </w:p>
    <w:p w:rsidR="00257C43" w:rsidRPr="00795247" w:rsidRDefault="00257C43" w:rsidP="00257C43">
      <w:pPr>
        <w:numPr>
          <w:ilvl w:val="0"/>
          <w:numId w:val="3"/>
        </w:numPr>
        <w:spacing w:before="120" w:after="120"/>
        <w:ind w:left="567" w:hanging="207"/>
        <w:rPr>
          <w:rFonts w:eastAsia="Calibri"/>
          <w:sz w:val="18"/>
          <w:szCs w:val="18"/>
          <w:lang w:eastAsia="en-US"/>
        </w:rPr>
      </w:pPr>
      <w:r w:rsidRPr="00795247">
        <w:rPr>
          <w:rFonts w:eastAsia="Calibri"/>
          <w:sz w:val="18"/>
          <w:szCs w:val="18"/>
          <w:lang w:eastAsia="en-US"/>
        </w:rPr>
        <w:t xml:space="preserve">Sistemde, Tez Savunma Sınavı öncesinde </w:t>
      </w:r>
      <w:proofErr w:type="spellStart"/>
      <w:r w:rsidRPr="00795247">
        <w:rPr>
          <w:rFonts w:eastAsia="Calibri"/>
          <w:sz w:val="18"/>
          <w:szCs w:val="18"/>
          <w:lang w:eastAsia="en-US"/>
        </w:rPr>
        <w:t>Enstitü’den</w:t>
      </w:r>
      <w:proofErr w:type="spellEnd"/>
      <w:r w:rsidRPr="00795247">
        <w:rPr>
          <w:rFonts w:eastAsia="Calibri"/>
          <w:sz w:val="18"/>
          <w:szCs w:val="18"/>
          <w:lang w:eastAsia="en-US"/>
        </w:rPr>
        <w:t xml:space="preserve"> Tez Şekilsel Onayı almış tez için alınacak Orijinallik Raporu için “Depolama yok”; Tez Savunma Sınavı sonrası </w:t>
      </w:r>
      <w:proofErr w:type="spellStart"/>
      <w:r w:rsidRPr="00795247">
        <w:rPr>
          <w:rFonts w:eastAsia="Calibri"/>
          <w:sz w:val="18"/>
          <w:szCs w:val="18"/>
          <w:lang w:eastAsia="en-US"/>
        </w:rPr>
        <w:t>Enstitü’den</w:t>
      </w:r>
      <w:proofErr w:type="spellEnd"/>
      <w:r w:rsidRPr="00795247">
        <w:rPr>
          <w:rFonts w:eastAsia="Calibri"/>
          <w:sz w:val="18"/>
          <w:szCs w:val="18"/>
          <w:lang w:eastAsia="en-US"/>
        </w:rPr>
        <w:t xml:space="preserve"> cilt onayı alınmış tez için alınacak Orijinallik Raporu için “Depolama var” seçeneği seçilir.</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 xml:space="preserve">Madde 6. </w:t>
      </w:r>
      <w:r w:rsidRPr="00795247">
        <w:rPr>
          <w:rFonts w:eastAsia="Calibri"/>
          <w:sz w:val="18"/>
          <w:szCs w:val="18"/>
          <w:lang w:eastAsia="en-US"/>
        </w:rPr>
        <w:t xml:space="preserve"> Tez/dönem projesi için Programda raporlama işlemi tamamlandıktan sonra</w:t>
      </w:r>
      <w:r w:rsidRPr="00795247">
        <w:rPr>
          <w:rFonts w:eastAsia="Calibri"/>
          <w:b/>
          <w:sz w:val="18"/>
          <w:szCs w:val="18"/>
          <w:lang w:eastAsia="en-US"/>
        </w:rPr>
        <w:t xml:space="preserve"> </w:t>
      </w:r>
      <w:r w:rsidRPr="00795247">
        <w:rPr>
          <w:rFonts w:eastAsia="Calibri"/>
          <w:sz w:val="18"/>
          <w:szCs w:val="18"/>
          <w:lang w:eastAsia="en-US"/>
        </w:rPr>
        <w:t xml:space="preserve">öğrencinin adı ve soyadını, rapor tarihini, tez başlığını, tezin toplam sayfa sayısını ve yüzdelik sayı olarak sonuçlanan “Benzerlik </w:t>
      </w:r>
      <w:proofErr w:type="spellStart"/>
      <w:r w:rsidRPr="00795247">
        <w:rPr>
          <w:rFonts w:eastAsia="Calibri"/>
          <w:sz w:val="18"/>
          <w:szCs w:val="18"/>
          <w:lang w:eastAsia="en-US"/>
        </w:rPr>
        <w:t>Oranı”nı</w:t>
      </w:r>
      <w:proofErr w:type="spellEnd"/>
      <w:r w:rsidRPr="00795247">
        <w:rPr>
          <w:rFonts w:eastAsia="Calibri"/>
          <w:sz w:val="18"/>
          <w:szCs w:val="18"/>
          <w:lang w:eastAsia="en-US"/>
        </w:rPr>
        <w:t xml:space="preserve"> içeren Orijinallik Raporu programdan alınır. Bu Uygulama Esaslarında tezler için belirlenen azami Benzerlik Oranını veya altındaki oranları sağlayan tezin Orijinallik Raporunun tüm sayfaları danışman, öğrenci ve varsa ikinci danışman tarafından imzalanır. </w:t>
      </w:r>
    </w:p>
    <w:p w:rsidR="00257C43" w:rsidRPr="00795247" w:rsidRDefault="00257C43" w:rsidP="00257C43">
      <w:pPr>
        <w:spacing w:before="120" w:after="120"/>
        <w:jc w:val="both"/>
        <w:rPr>
          <w:b/>
          <w:bCs/>
          <w:sz w:val="18"/>
          <w:szCs w:val="18"/>
        </w:rPr>
      </w:pPr>
      <w:r w:rsidRPr="00795247">
        <w:rPr>
          <w:rFonts w:eastAsia="Calibri"/>
          <w:b/>
          <w:sz w:val="18"/>
          <w:szCs w:val="18"/>
          <w:lang w:eastAsia="en-US"/>
        </w:rPr>
        <w:t xml:space="preserve">Madde 7.  </w:t>
      </w:r>
      <w:r w:rsidRPr="00795247">
        <w:rPr>
          <w:rFonts w:eastAsia="Calibri"/>
          <w:bCs/>
          <w:sz w:val="18"/>
          <w:szCs w:val="18"/>
          <w:lang w:eastAsia="en-US"/>
        </w:rPr>
        <w:t xml:space="preserve">Tezler için </w:t>
      </w:r>
      <w:r w:rsidRPr="00795247">
        <w:rPr>
          <w:rFonts w:eastAsia="Calibri"/>
          <w:sz w:val="18"/>
          <w:szCs w:val="18"/>
          <w:lang w:eastAsia="en-US"/>
        </w:rPr>
        <w:t xml:space="preserve">Programdan alınacak Orijinallik Raporunda benzerlik oranı aynı kaynaktan </w:t>
      </w:r>
      <w:r w:rsidRPr="00795247">
        <w:rPr>
          <w:rFonts w:eastAsia="Calibri"/>
          <w:b/>
          <w:sz w:val="18"/>
          <w:szCs w:val="18"/>
          <w:lang w:eastAsia="en-US"/>
        </w:rPr>
        <w:t>%10</w:t>
      </w:r>
      <w:r w:rsidRPr="00795247">
        <w:rPr>
          <w:rFonts w:eastAsia="Calibri"/>
          <w:sz w:val="18"/>
          <w:szCs w:val="18"/>
          <w:lang w:eastAsia="en-US"/>
        </w:rPr>
        <w:t xml:space="preserve">’u ve alıntılar dâhil farklı kaynaklardan toplamda </w:t>
      </w:r>
      <w:r w:rsidRPr="00795247">
        <w:rPr>
          <w:rFonts w:eastAsia="Calibri"/>
          <w:b/>
          <w:sz w:val="18"/>
          <w:szCs w:val="18"/>
          <w:lang w:eastAsia="en-US"/>
        </w:rPr>
        <w:t>%20</w:t>
      </w:r>
      <w:r w:rsidRPr="00795247">
        <w:rPr>
          <w:rFonts w:eastAsia="Calibri"/>
          <w:sz w:val="18"/>
          <w:szCs w:val="18"/>
          <w:lang w:eastAsia="en-US"/>
        </w:rPr>
        <w:t xml:space="preserve">’yi geçmemelidir. Benzerlik oranının %20’nin üzerinde olması durumunda öğrenciye ve danışmana gerekli düzenlemeleri yapmaları için bilgi verilir. </w:t>
      </w:r>
      <w:proofErr w:type="gramStart"/>
      <w:r w:rsidRPr="00795247">
        <w:rPr>
          <w:rFonts w:eastAsia="Calibri"/>
          <w:sz w:val="18"/>
          <w:szCs w:val="18"/>
          <w:lang w:eastAsia="en-US"/>
        </w:rPr>
        <w:t xml:space="preserve">Tezde yer alan mevzuat, kanun gibi genel kaynaklar ve öğrencinin tezi ile ilgili yapmış olduğu yayınlar raporlamada kapsam dışında bırakılabilir; bu durumda danışman ve öğrenci tarafından tezde benzerlik oranına etki eden bu kısımların benzerlik oranına dâhil edilmemesini talep eden gerekçeli bir dilekçenin, anabilim dalı görüşü ile Enstitüye iletilmesi halinde tez için Enstitü Yönetim Kurulu tarafından uygun bulunan kısımlar kapsam dışında bırakılarak tekrar benzerlik oranı belirlenir. </w:t>
      </w:r>
      <w:proofErr w:type="gramEnd"/>
    </w:p>
    <w:p w:rsidR="00257C43" w:rsidRPr="00795247" w:rsidRDefault="00257C43" w:rsidP="00257C43">
      <w:pPr>
        <w:spacing w:before="120" w:after="120"/>
        <w:jc w:val="both"/>
        <w:rPr>
          <w:sz w:val="18"/>
          <w:szCs w:val="18"/>
        </w:rPr>
      </w:pPr>
      <w:r w:rsidRPr="00795247">
        <w:rPr>
          <w:b/>
          <w:bCs/>
          <w:sz w:val="18"/>
          <w:szCs w:val="18"/>
        </w:rPr>
        <w:lastRenderedPageBreak/>
        <w:t>Madde 8.</w:t>
      </w:r>
      <w:r w:rsidRPr="00795247">
        <w:rPr>
          <w:sz w:val="18"/>
          <w:szCs w:val="18"/>
        </w:rPr>
        <w:t xml:space="preserve"> Dönem projeleri için programdan alınacak Orijinallik Raporunda benzerlik oranı aynı kaynaktan </w:t>
      </w:r>
      <w:r w:rsidRPr="00795247">
        <w:rPr>
          <w:b/>
          <w:sz w:val="18"/>
          <w:szCs w:val="18"/>
        </w:rPr>
        <w:t>%10</w:t>
      </w:r>
      <w:r w:rsidRPr="00795247">
        <w:rPr>
          <w:sz w:val="18"/>
          <w:szCs w:val="18"/>
        </w:rPr>
        <w:t xml:space="preserve">’u ve alıntılar dâhil farklı kaynaklardan toplamda </w:t>
      </w:r>
      <w:r w:rsidRPr="00795247">
        <w:rPr>
          <w:b/>
          <w:bCs/>
          <w:sz w:val="18"/>
          <w:szCs w:val="18"/>
        </w:rPr>
        <w:t>%30</w:t>
      </w:r>
      <w:r w:rsidRPr="00795247">
        <w:rPr>
          <w:sz w:val="18"/>
          <w:szCs w:val="18"/>
        </w:rPr>
        <w:t xml:space="preserve">’u geçmemelidir. İntihal programına yüklenen dosyanın raporlanmasında Madde 5’te belirtilen filtreleme seçenekleri uygulanır; ancak ilk raporlamada “depo yok” seçeneği ile çalışılır. Eğer bu aşamada benzerlik oranı %30 veya altında ise “depo var” ayarı ile çalışılarak Orijinallik Raporu alınır. Enstitü tarafından yapılan kontrollerde benzerlik oranının %30’un üzerinde olması durumunda öğrenciye ve danışmana gerekli düzenlemeleri yapmaları için bilgi verilir. </w:t>
      </w:r>
      <w:proofErr w:type="gramStart"/>
      <w:r w:rsidRPr="00795247">
        <w:rPr>
          <w:sz w:val="18"/>
          <w:szCs w:val="18"/>
        </w:rPr>
        <w:t xml:space="preserve">Dönem projesinde yer alan mevzuat ve kanun gibi genel kaynaklar raporlamada kapsam dışında bırakılabilir; bu durumda danışman ve öğrenci tarafından Dönem Projesinde benzerlik oranına etki eden bu kısımların benzerlik oranına dâhil edilmemesini talep eden gerekçeli bir dilekçenin Enstitüye iletilmesi halinde Dönem Projesi için Enstitü Yönetim Kurulu tarafından uygun bulunan kısımlar kapsam dışında bırakılarak tekrar benzerlik oranı belirlenir. </w:t>
      </w:r>
      <w:proofErr w:type="gramEnd"/>
      <w:r w:rsidRPr="00795247">
        <w:rPr>
          <w:sz w:val="18"/>
          <w:szCs w:val="18"/>
        </w:rPr>
        <w:t>Bu Uygulama Esaslarında Dönem Projeleri için belirlenen azami Benzerlik Oranını veya altındaki oranları sağlayan Dönem Projesinin “depo var” ayarı ile alınan Orijinallik Raporunun tüm sayfaları danışman ve öğrenci tarafından imzalanıp Enstitüye teslim edilerek öğrenci dosyasına konulur.</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 xml:space="preserve">TEZ/DÖNEM PROJESİ İÇİN ORİJİNALLİK RAPORUNUN KULLANILMASI </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Madde 9.</w:t>
      </w:r>
      <w:r w:rsidRPr="00795247">
        <w:rPr>
          <w:rFonts w:eastAsia="Calibri"/>
          <w:sz w:val="18"/>
          <w:szCs w:val="18"/>
          <w:lang w:eastAsia="en-US"/>
        </w:rPr>
        <w:t xml:space="preserve"> Benzerlik oranında sorumluluk öğrenci ve danışman(</w:t>
      </w:r>
      <w:proofErr w:type="spellStart"/>
      <w:r w:rsidRPr="00795247">
        <w:rPr>
          <w:rFonts w:eastAsia="Calibri"/>
          <w:sz w:val="18"/>
          <w:szCs w:val="18"/>
          <w:lang w:eastAsia="en-US"/>
        </w:rPr>
        <w:t>lar</w:t>
      </w:r>
      <w:proofErr w:type="spellEnd"/>
      <w:r w:rsidRPr="00795247">
        <w:rPr>
          <w:rFonts w:eastAsia="Calibri"/>
          <w:sz w:val="18"/>
          <w:szCs w:val="18"/>
          <w:lang w:eastAsia="en-US"/>
        </w:rPr>
        <w:t xml:space="preserve">)a aittir. Bu Uygulama Esaslarında belirtilen benzerlik oranını aşan tez için jüri kurulmaz; dönem projesi mezuniyet için kabul edilmez.  </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 xml:space="preserve">Madde 10. </w:t>
      </w:r>
      <w:r w:rsidRPr="00795247">
        <w:rPr>
          <w:rFonts w:eastAsia="Calibri"/>
          <w:sz w:val="18"/>
          <w:szCs w:val="18"/>
          <w:lang w:eastAsia="en-US"/>
        </w:rPr>
        <w:t>Tez savunma jürisi kurulan öğrencinin tezinin</w:t>
      </w:r>
      <w:r w:rsidRPr="00795247">
        <w:rPr>
          <w:rFonts w:eastAsia="Calibri"/>
          <w:b/>
          <w:sz w:val="18"/>
          <w:szCs w:val="18"/>
          <w:lang w:eastAsia="en-US"/>
        </w:rPr>
        <w:t xml:space="preserve"> </w:t>
      </w:r>
      <w:r w:rsidRPr="00795247">
        <w:rPr>
          <w:rFonts w:eastAsia="Calibri"/>
          <w:sz w:val="18"/>
          <w:szCs w:val="18"/>
          <w:lang w:eastAsia="en-US"/>
        </w:rPr>
        <w:t>Orijinallik Raporu Enstitü tarafından danışman(</w:t>
      </w:r>
      <w:proofErr w:type="spellStart"/>
      <w:r w:rsidRPr="00795247">
        <w:rPr>
          <w:rFonts w:eastAsia="Calibri"/>
          <w:sz w:val="18"/>
          <w:szCs w:val="18"/>
          <w:lang w:eastAsia="en-US"/>
        </w:rPr>
        <w:t>lar</w:t>
      </w:r>
      <w:proofErr w:type="spellEnd"/>
      <w:r w:rsidRPr="00795247">
        <w:rPr>
          <w:rFonts w:eastAsia="Calibri"/>
          <w:sz w:val="18"/>
          <w:szCs w:val="18"/>
          <w:lang w:eastAsia="en-US"/>
        </w:rPr>
        <w:t>)a ve jüri üyelerine gönderilir.</w:t>
      </w:r>
      <w:r w:rsidRPr="00795247">
        <w:rPr>
          <w:rFonts w:eastAsia="Calibri"/>
          <w:b/>
          <w:sz w:val="18"/>
          <w:szCs w:val="18"/>
          <w:lang w:eastAsia="en-US"/>
        </w:rPr>
        <w:t xml:space="preserve">  </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Madde 11.</w:t>
      </w:r>
      <w:r w:rsidRPr="00795247">
        <w:rPr>
          <w:rFonts w:eastAsia="Calibri"/>
          <w:sz w:val="18"/>
          <w:szCs w:val="18"/>
          <w:lang w:eastAsia="en-US"/>
        </w:rPr>
        <w:t xml:space="preserve"> Tez savunma jürisi Orijinallik Raporunu tezle beraber değerlendirir. Rapordaki verilerde gerçek bir intihalin tespiti halinde gerekçesi ile birlikte karar için tez Enstitü Yönetim Kuruluna gönderilir.</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12.  </w:t>
      </w:r>
      <w:r w:rsidRPr="00795247">
        <w:rPr>
          <w:rFonts w:eastAsia="Calibri"/>
          <w:sz w:val="18"/>
          <w:szCs w:val="18"/>
          <w:lang w:eastAsia="en-US"/>
        </w:rPr>
        <w:t>Tez savunması başarılı olduğu durumda Rapor öğrenci dosyasında saklanır.</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13. </w:t>
      </w:r>
      <w:r w:rsidRPr="00795247">
        <w:rPr>
          <w:rFonts w:eastAsia="Calibri"/>
          <w:sz w:val="18"/>
          <w:szCs w:val="18"/>
          <w:lang w:eastAsia="en-US"/>
        </w:rPr>
        <w:t xml:space="preserve">Tez savunma sınavı başarılı geçen öğrencinin sınav sonrası tezinde jüri tarafından istenilen değişiklikleri yapıp </w:t>
      </w:r>
      <w:proofErr w:type="spellStart"/>
      <w:r w:rsidRPr="00795247">
        <w:rPr>
          <w:rFonts w:eastAsia="Calibri"/>
          <w:sz w:val="18"/>
          <w:szCs w:val="18"/>
          <w:lang w:eastAsia="en-US"/>
        </w:rPr>
        <w:t>Enstitü’den</w:t>
      </w:r>
      <w:proofErr w:type="spellEnd"/>
      <w:r w:rsidRPr="00795247">
        <w:rPr>
          <w:rFonts w:eastAsia="Calibri"/>
          <w:sz w:val="18"/>
          <w:szCs w:val="18"/>
          <w:lang w:eastAsia="en-US"/>
        </w:rPr>
        <w:t xml:space="preserve"> cilt onayı aldığı tezi için Enstitü tarafından tekrar Orijinallik Raporu alınır.  Bu amaçla öğrenci cilt onayı verilmiş tezi için danışmanının onayı ile Orijinallik Raporu alınması için </w:t>
      </w:r>
      <w:proofErr w:type="spellStart"/>
      <w:r w:rsidRPr="00795247">
        <w:rPr>
          <w:rFonts w:eastAsia="Calibri"/>
          <w:sz w:val="18"/>
          <w:szCs w:val="18"/>
          <w:lang w:eastAsia="en-US"/>
        </w:rPr>
        <w:t>Enstitü’ye</w:t>
      </w:r>
      <w:proofErr w:type="spellEnd"/>
      <w:r w:rsidRPr="00795247">
        <w:rPr>
          <w:rFonts w:eastAsia="Calibri"/>
          <w:sz w:val="18"/>
          <w:szCs w:val="18"/>
          <w:lang w:eastAsia="en-US"/>
        </w:rPr>
        <w:t xml:space="preserve"> başvurur. Bu Esaslarda belirtilen azami benzerlik oranını veya altındaki oranları sağlayan, tüm sayfaları öğrenci, danışman ve varsa 2. danışman tarafından onaylanarak imzalanmış bu Rapor mezuniyet işlemlerinde kullanılır. Bu Rapor öğrenci tarafından jüri üyelerine tez nüshalarına ıslak imza alma aşamasında teslim edilir. Bu Rapor da öğrenci dosyasında saklanır.  </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14. </w:t>
      </w:r>
      <w:r w:rsidRPr="00795247">
        <w:rPr>
          <w:rFonts w:eastAsia="Calibri"/>
          <w:sz w:val="18"/>
          <w:szCs w:val="18"/>
          <w:lang w:eastAsia="en-US"/>
        </w:rPr>
        <w:t xml:space="preserve">Tez savunmasında başarısız olunması durumda 3. Madde hükümleri uygulanır. </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 xml:space="preserve">Madde 15. </w:t>
      </w:r>
      <w:r w:rsidRPr="00795247">
        <w:rPr>
          <w:rFonts w:eastAsia="Calibri"/>
          <w:sz w:val="18"/>
          <w:szCs w:val="18"/>
          <w:lang w:eastAsia="en-US"/>
        </w:rPr>
        <w:t>Tezin/dönem projesinin bu Uygulama Esaslarında belirtilen azami veya daha düşük benzerlik oranına sahip olması tek başına intihal olmadığı anlamına gelmez.</w:t>
      </w:r>
      <w:r w:rsidRPr="00795247">
        <w:rPr>
          <w:rFonts w:eastAsia="Calibri"/>
          <w:b/>
          <w:sz w:val="18"/>
          <w:szCs w:val="18"/>
          <w:lang w:eastAsia="en-US"/>
        </w:rPr>
        <w:t xml:space="preserve"> </w:t>
      </w:r>
      <w:r w:rsidRPr="00795247">
        <w:rPr>
          <w:rFonts w:eastAsia="Calibri"/>
          <w:sz w:val="18"/>
          <w:szCs w:val="18"/>
          <w:lang w:eastAsia="en-US"/>
        </w:rPr>
        <w:t xml:space="preserve">Tezde/dönem projesinde gerekli tüm bilimsel atıflar yapılmalı ve alıntı kurallarına uyulmalıdır.  Bu kurallara uyulmaması halinde doğacak sorumluluk öğrenciye aittir.  </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 xml:space="preserve"> HÜKÜM BULUNMAYAN DURUMLAR</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Madde 16.</w:t>
      </w:r>
      <w:r w:rsidRPr="00795247">
        <w:rPr>
          <w:rFonts w:eastAsia="Calibri"/>
          <w:sz w:val="18"/>
          <w:szCs w:val="18"/>
          <w:lang w:eastAsia="en-US"/>
        </w:rPr>
        <w:t xml:space="preserve"> Bu Uygulama Esaslarında hüküm bulunmayan durumlar Enstitü Kurulu’nda görüşüldükten kesinleşir.</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YÜRÜRLÜK</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17. </w:t>
      </w:r>
      <w:r w:rsidRPr="00795247">
        <w:rPr>
          <w:rFonts w:eastAsia="Calibri"/>
          <w:sz w:val="18"/>
          <w:szCs w:val="18"/>
          <w:lang w:eastAsia="en-US"/>
        </w:rPr>
        <w:t>Bu Uygulama Esasları Senato’da onaylandıktan sonra 2021-2022 Bahar yarıyılından itibaren yürürlüğe girer.</w:t>
      </w:r>
    </w:p>
    <w:p w:rsidR="00257C43" w:rsidRPr="00795247" w:rsidRDefault="00257C43" w:rsidP="00257C43">
      <w:pPr>
        <w:spacing w:before="120" w:after="120"/>
        <w:jc w:val="both"/>
        <w:rPr>
          <w:rFonts w:eastAsia="Calibri"/>
          <w:b/>
          <w:sz w:val="18"/>
          <w:szCs w:val="18"/>
          <w:lang w:eastAsia="en-US"/>
        </w:rPr>
      </w:pPr>
      <w:r w:rsidRPr="00795247">
        <w:rPr>
          <w:rFonts w:eastAsia="Calibri"/>
          <w:b/>
          <w:sz w:val="18"/>
          <w:szCs w:val="18"/>
          <w:lang w:eastAsia="en-US"/>
        </w:rPr>
        <w:t>YÜRÜTME</w:t>
      </w:r>
    </w:p>
    <w:p w:rsidR="00257C43" w:rsidRPr="00795247" w:rsidRDefault="00257C43" w:rsidP="00257C43">
      <w:pPr>
        <w:spacing w:before="120" w:after="120"/>
        <w:jc w:val="both"/>
        <w:rPr>
          <w:rFonts w:eastAsia="Calibri"/>
          <w:sz w:val="18"/>
          <w:szCs w:val="18"/>
          <w:lang w:eastAsia="en-US"/>
        </w:rPr>
      </w:pPr>
      <w:r w:rsidRPr="00795247">
        <w:rPr>
          <w:rFonts w:eastAsia="Calibri"/>
          <w:b/>
          <w:sz w:val="18"/>
          <w:szCs w:val="18"/>
          <w:lang w:eastAsia="en-US"/>
        </w:rPr>
        <w:t xml:space="preserve">Madde 18. </w:t>
      </w:r>
      <w:r w:rsidRPr="00795247">
        <w:rPr>
          <w:rFonts w:eastAsia="Calibri"/>
          <w:sz w:val="18"/>
          <w:szCs w:val="18"/>
          <w:lang w:eastAsia="en-US"/>
        </w:rPr>
        <w:t xml:space="preserve">Bu Uygulama Esaslarının hükümlerini Rektör yürütür. </w:t>
      </w:r>
    </w:p>
    <w:p w:rsidR="00327D40" w:rsidRDefault="00327D40"/>
    <w:sectPr w:rsidR="00327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6259"/>
    <w:multiLevelType w:val="hybridMultilevel"/>
    <w:tmpl w:val="F62C9474"/>
    <w:lvl w:ilvl="0" w:tplc="20248CD0">
      <w:start w:val="1"/>
      <w:numFmt w:val="decimal"/>
      <w:lvlText w:val="(%1)"/>
      <w:lvlJc w:val="left"/>
      <w:pPr>
        <w:ind w:left="721" w:hanging="570"/>
        <w:jc w:val="right"/>
      </w:pPr>
      <w:rPr>
        <w:rFonts w:ascii="Arial Narrow" w:eastAsia="Times New Roman" w:hAnsi="Arial Narrow" w:cs="Times New Roman" w:hint="default"/>
        <w:b w:val="0"/>
        <w:w w:val="100"/>
        <w:sz w:val="20"/>
        <w:szCs w:val="20"/>
        <w:lang w:val="tr-TR" w:eastAsia="en-US" w:bidi="ar-SA"/>
      </w:rPr>
    </w:lvl>
    <w:lvl w:ilvl="1" w:tplc="BFB049F2">
      <w:start w:val="1"/>
      <w:numFmt w:val="lowerLetter"/>
      <w:lvlText w:val="%2)"/>
      <w:lvlJc w:val="left"/>
      <w:pPr>
        <w:ind w:left="721" w:hanging="287"/>
      </w:pPr>
      <w:rPr>
        <w:rFonts w:ascii="Arial Narrow" w:eastAsia="Times New Roman" w:hAnsi="Arial Narrow" w:cs="Times New Roman" w:hint="default"/>
        <w:strike w:val="0"/>
        <w:color w:val="auto"/>
        <w:w w:val="100"/>
        <w:sz w:val="20"/>
        <w:szCs w:val="20"/>
        <w:lang w:val="tr-TR" w:eastAsia="en-US" w:bidi="ar-SA"/>
      </w:rPr>
    </w:lvl>
    <w:lvl w:ilvl="2" w:tplc="02A6024C">
      <w:numFmt w:val="bullet"/>
      <w:lvlText w:val="•"/>
      <w:lvlJc w:val="left"/>
      <w:pPr>
        <w:ind w:left="2590" w:hanging="287"/>
      </w:pPr>
      <w:rPr>
        <w:rFonts w:hint="default"/>
        <w:lang w:val="tr-TR" w:eastAsia="en-US" w:bidi="ar-SA"/>
      </w:rPr>
    </w:lvl>
    <w:lvl w:ilvl="3" w:tplc="556ED5A6">
      <w:numFmt w:val="bullet"/>
      <w:lvlText w:val="•"/>
      <w:lvlJc w:val="left"/>
      <w:pPr>
        <w:ind w:left="3525" w:hanging="287"/>
      </w:pPr>
      <w:rPr>
        <w:rFonts w:hint="default"/>
        <w:lang w:val="tr-TR" w:eastAsia="en-US" w:bidi="ar-SA"/>
      </w:rPr>
    </w:lvl>
    <w:lvl w:ilvl="4" w:tplc="EF86A222">
      <w:numFmt w:val="bullet"/>
      <w:lvlText w:val="•"/>
      <w:lvlJc w:val="left"/>
      <w:pPr>
        <w:ind w:left="4460" w:hanging="287"/>
      </w:pPr>
      <w:rPr>
        <w:rFonts w:hint="default"/>
        <w:lang w:val="tr-TR" w:eastAsia="en-US" w:bidi="ar-SA"/>
      </w:rPr>
    </w:lvl>
    <w:lvl w:ilvl="5" w:tplc="638ED082">
      <w:numFmt w:val="bullet"/>
      <w:lvlText w:val="•"/>
      <w:lvlJc w:val="left"/>
      <w:pPr>
        <w:ind w:left="5395" w:hanging="287"/>
      </w:pPr>
      <w:rPr>
        <w:rFonts w:hint="default"/>
        <w:lang w:val="tr-TR" w:eastAsia="en-US" w:bidi="ar-SA"/>
      </w:rPr>
    </w:lvl>
    <w:lvl w:ilvl="6" w:tplc="85D0DEB6">
      <w:numFmt w:val="bullet"/>
      <w:lvlText w:val="•"/>
      <w:lvlJc w:val="left"/>
      <w:pPr>
        <w:ind w:left="6330" w:hanging="287"/>
      </w:pPr>
      <w:rPr>
        <w:rFonts w:hint="default"/>
        <w:lang w:val="tr-TR" w:eastAsia="en-US" w:bidi="ar-SA"/>
      </w:rPr>
    </w:lvl>
    <w:lvl w:ilvl="7" w:tplc="AC12C2A0">
      <w:numFmt w:val="bullet"/>
      <w:lvlText w:val="•"/>
      <w:lvlJc w:val="left"/>
      <w:pPr>
        <w:ind w:left="7265" w:hanging="287"/>
      </w:pPr>
      <w:rPr>
        <w:rFonts w:hint="default"/>
        <w:lang w:val="tr-TR" w:eastAsia="en-US" w:bidi="ar-SA"/>
      </w:rPr>
    </w:lvl>
    <w:lvl w:ilvl="8" w:tplc="0ED8B436">
      <w:numFmt w:val="bullet"/>
      <w:lvlText w:val="•"/>
      <w:lvlJc w:val="left"/>
      <w:pPr>
        <w:ind w:left="8200" w:hanging="287"/>
      </w:pPr>
      <w:rPr>
        <w:rFonts w:hint="default"/>
        <w:lang w:val="tr-TR" w:eastAsia="en-US" w:bidi="ar-SA"/>
      </w:rPr>
    </w:lvl>
  </w:abstractNum>
  <w:abstractNum w:abstractNumId="1" w15:restartNumberingAfterBreak="0">
    <w:nsid w:val="73217AA3"/>
    <w:multiLevelType w:val="hybridMultilevel"/>
    <w:tmpl w:val="E6BC3B24"/>
    <w:lvl w:ilvl="0" w:tplc="18024E4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94388"/>
    <w:multiLevelType w:val="hybridMultilevel"/>
    <w:tmpl w:val="63EA6C2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43"/>
    <w:rsid w:val="00257C43"/>
    <w:rsid w:val="00327D40"/>
    <w:rsid w:val="004B4E74"/>
    <w:rsid w:val="005E6A24"/>
    <w:rsid w:val="0092266E"/>
    <w:rsid w:val="00F53820"/>
    <w:rsid w:val="00F97A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A0A52-5A7E-446E-A883-1909DD4B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57C43"/>
    <w:pPr>
      <w:ind w:left="720"/>
      <w:contextualSpacing/>
    </w:pPr>
  </w:style>
  <w:style w:type="paragraph" w:customStyle="1" w:styleId="ListeParagraf8">
    <w:name w:val="Liste Paragraf8"/>
    <w:basedOn w:val="Normal"/>
    <w:rsid w:val="00257C43"/>
    <w:pPr>
      <w:ind w:left="720"/>
      <w:contextualSpacing/>
    </w:pPr>
    <w:rPr>
      <w:rFonts w:eastAsia="Calibri"/>
    </w:rPr>
  </w:style>
  <w:style w:type="paragraph" w:styleId="GvdeMetni">
    <w:name w:val="Body Text"/>
    <w:basedOn w:val="Normal"/>
    <w:link w:val="GvdeMetniChar"/>
    <w:uiPriority w:val="1"/>
    <w:unhideWhenUsed/>
    <w:qFormat/>
    <w:rsid w:val="00257C43"/>
    <w:pPr>
      <w:spacing w:after="120"/>
    </w:pPr>
  </w:style>
  <w:style w:type="character" w:customStyle="1" w:styleId="GvdeMetniChar">
    <w:name w:val="Gövde Metni Char"/>
    <w:basedOn w:val="VarsaylanParagrafYazTipi"/>
    <w:link w:val="GvdeMetni"/>
    <w:uiPriority w:val="1"/>
    <w:rsid w:val="00257C4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2022-03-31T07:44:00Z</dcterms:created>
  <dcterms:modified xsi:type="dcterms:W3CDTF">2022-03-31T07:44:00Z</dcterms:modified>
</cp:coreProperties>
</file>